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val="0"/>
        <w:kinsoku/>
        <w:wordWrap/>
        <w:overflowPunct/>
        <w:topLinePunct w:val="0"/>
        <w:autoSpaceDE/>
        <w:autoSpaceDN/>
        <w:bidi w:val="0"/>
        <w:adjustRightInd/>
        <w:snapToGrid/>
        <w:spacing w:line="840" w:lineRule="auto"/>
        <w:ind w:right="42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pStyle w:val="6"/>
        <w:ind w:right="420" w:firstLine="440" w:firstLineChars="100"/>
        <w:jc w:val="center"/>
        <w:rPr>
          <w:rFonts w:hint="eastAsia" w:ascii="方正小标宋简体" w:hAnsi="方正小标宋简体" w:eastAsia="方正小标宋简体" w:cs="方正小标宋简体"/>
          <w:color w:val="000000"/>
          <w:kern w:val="2"/>
          <w:sz w:val="44"/>
          <w:szCs w:val="44"/>
          <w:lang w:val="en-US" w:eastAsia="zh-CN" w:bidi="ar-SA"/>
        </w:rPr>
      </w:pPr>
      <w:r>
        <w:rPr>
          <w:rFonts w:hint="eastAsia" w:ascii="方正小标宋简体" w:hAnsi="方正小标宋简体" w:eastAsia="方正小标宋简体" w:cs="方正小标宋简体"/>
          <w:color w:val="000000"/>
          <w:kern w:val="2"/>
          <w:sz w:val="44"/>
          <w:szCs w:val="44"/>
          <w:lang w:val="en-US" w:eastAsia="zh-CN" w:bidi="ar-SA"/>
        </w:rPr>
        <w:t>线上办理一体化平台CA数字证书</w:t>
      </w:r>
    </w:p>
    <w:p>
      <w:pPr>
        <w:pStyle w:val="6"/>
        <w:ind w:right="420" w:firstLine="440" w:firstLineChars="100"/>
        <w:jc w:val="center"/>
        <w:rPr>
          <w:rFonts w:hint="eastAsia" w:ascii="方正小标宋简体" w:hAnsi="方正小标宋简体" w:eastAsia="方正小标宋简体" w:cs="方正小标宋简体"/>
          <w:color w:val="000000"/>
          <w:kern w:val="2"/>
          <w:sz w:val="44"/>
          <w:szCs w:val="44"/>
          <w:lang w:val="en-US" w:eastAsia="zh-CN" w:bidi="ar-SA"/>
        </w:rPr>
      </w:pPr>
      <w:r>
        <w:rPr>
          <w:rFonts w:hint="eastAsia" w:ascii="方正小标宋简体" w:hAnsi="方正小标宋简体" w:eastAsia="方正小标宋简体" w:cs="方正小标宋简体"/>
          <w:color w:val="000000"/>
          <w:kern w:val="2"/>
          <w:sz w:val="44"/>
          <w:szCs w:val="44"/>
          <w:lang w:val="en-US" w:eastAsia="zh-CN" w:bidi="ar-SA"/>
        </w:rPr>
        <w:t>操作指南</w:t>
      </w:r>
    </w:p>
    <w:p>
      <w:pPr>
        <w:numPr>
          <w:ilvl w:val="0"/>
          <w:numId w:val="0"/>
        </w:numPr>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一、登录</w:t>
      </w:r>
    </w:p>
    <w:p>
      <w:pPr>
        <w:numPr>
          <w:ilvl w:val="0"/>
          <w:numId w:val="0"/>
        </w:numPr>
        <w:ind w:firstLine="640" w:firstLineChars="20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1.登录云南省建设注册考试中心（http://www.ynjspx.cn/），点击“综合业务服务系统”；</w:t>
      </w:r>
    </w:p>
    <w:p>
      <w:pPr>
        <w:numPr>
          <w:ilvl w:val="0"/>
          <w:numId w:val="0"/>
        </w:numPr>
        <w:ind w:leftChars="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drawing>
          <wp:inline distT="0" distB="0" distL="114300" distR="114300">
            <wp:extent cx="5646420" cy="2716530"/>
            <wp:effectExtent l="0" t="0" r="11430" b="762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0"/>
                    <a:stretch>
                      <a:fillRect/>
                    </a:stretch>
                  </pic:blipFill>
                  <pic:spPr>
                    <a:xfrm>
                      <a:off x="0" y="0"/>
                      <a:ext cx="5646420" cy="2716530"/>
                    </a:xfrm>
                    <a:prstGeom prst="rect">
                      <a:avLst/>
                    </a:prstGeom>
                  </pic:spPr>
                </pic:pic>
              </a:graphicData>
            </a:graphic>
          </wp:inline>
        </w:drawing>
      </w:r>
    </w:p>
    <w:p>
      <w:pPr>
        <w:numPr>
          <w:ilvl w:val="0"/>
          <w:numId w:val="0"/>
        </w:numPr>
        <w:ind w:leftChars="0"/>
        <w:jc w:val="left"/>
        <w:rPr>
          <w:rFonts w:hint="eastAsia" w:ascii="仿宋_GB2312" w:hAnsi="仿宋_GB2312" w:eastAsia="仿宋_GB2312" w:cs="仿宋_GB2312"/>
          <w:color w:val="000000"/>
          <w:sz w:val="32"/>
          <w:szCs w:val="32"/>
          <w:lang w:val="en-US" w:eastAsia="zh-CN"/>
        </w:rPr>
      </w:pPr>
    </w:p>
    <w:p>
      <w:pPr>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000000"/>
          <w:sz w:val="32"/>
          <w:szCs w:val="32"/>
          <w:lang w:val="en-US" w:eastAsia="zh-CN"/>
        </w:rPr>
        <w:t>2.在“云南省建设注册考试中心综合业务服务系统”登录页面，办理过一体化平台CA数字证书的企业或个人可凭账号（企业默认为纳税人识别号、个人为身份证号）、密码（初始密码为账号后6位）登录到云南省建设注册考试中心综合业务服务管理系统，未办理过一体化平台数字证书的用户需点击“新用户注册”栏目注册账户。</w:t>
      </w:r>
    </w:p>
    <w:p>
      <w:pPr>
        <w:numPr>
          <w:ilvl w:val="0"/>
          <w:numId w:val="0"/>
        </w:numPr>
        <w:ind w:left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52135" cy="2840990"/>
            <wp:effectExtent l="0" t="0" r="571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652135" cy="2840990"/>
                    </a:xfrm>
                    <a:prstGeom prst="rect">
                      <a:avLst/>
                    </a:prstGeom>
                    <a:noFill/>
                    <a:ln>
                      <a:noFill/>
                    </a:ln>
                  </pic:spPr>
                </pic:pic>
              </a:graphicData>
            </a:graphic>
          </wp:inline>
        </w:drawing>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val="en-US" w:eastAsia="zh-CN"/>
        </w:rPr>
        <w:t>3.用户初次登录需按以下步骤进行：修改密码-&gt;填写开票信息-&gt;信息确认-&gt;绑定手机号-&gt;完成。若未及时修改密码，导致一切不良后果由企业或个人自行承担。</w:t>
      </w:r>
      <w:r>
        <w:rPr>
          <w:rFonts w:hint="eastAsia" w:ascii="仿宋_GB2312" w:hAnsi="仿宋_GB2312" w:eastAsia="仿宋_GB2312" w:cs="仿宋_GB2312"/>
          <w:sz w:val="32"/>
          <w:szCs w:val="32"/>
        </w:rPr>
        <w:drawing>
          <wp:inline distT="0" distB="0" distL="114300" distR="114300">
            <wp:extent cx="5295265" cy="2365375"/>
            <wp:effectExtent l="0" t="0" r="635" b="158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95265" cy="2365375"/>
                    </a:xfrm>
                    <a:prstGeom prst="rect">
                      <a:avLst/>
                    </a:prstGeom>
                    <a:noFill/>
                    <a:ln>
                      <a:noFill/>
                    </a:ln>
                  </pic:spPr>
                </pic:pic>
              </a:graphicData>
            </a:graphic>
          </wp:inline>
        </w:drawing>
      </w:r>
    </w:p>
    <w:p>
      <w:pPr>
        <w:numPr>
          <w:ilvl w:val="0"/>
          <w:numId w:val="0"/>
        </w:numPr>
        <w:jc w:val="left"/>
        <w:rPr>
          <w:rFonts w:hint="eastAsia" w:ascii="仿宋_GB2312" w:hAnsi="仿宋_GB2312" w:eastAsia="仿宋_GB2312" w:cs="仿宋_GB2312"/>
          <w:color w:val="000000"/>
          <w:sz w:val="32"/>
          <w:szCs w:val="32"/>
          <w:lang w:val="en-US" w:eastAsia="zh-CN"/>
        </w:rPr>
      </w:pPr>
    </w:p>
    <w:p>
      <w:pPr>
        <w:numPr>
          <w:ilvl w:val="0"/>
          <w:numId w:val="0"/>
        </w:numPr>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温馨提示：</w:t>
      </w:r>
    </w:p>
    <w:p>
      <w:pPr>
        <w:numPr>
          <w:ilvl w:val="0"/>
          <w:numId w:val="0"/>
        </w:numPr>
        <w:ind w:firstLine="640" w:firstLineChars="20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1.从2019年4月16日后，已经成功登录过综合业务服务系统的账户，可以用原设定的账号、密码登录系统；</w:t>
      </w:r>
    </w:p>
    <w:p>
      <w:pPr>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2.如出现使用</w:t>
      </w:r>
      <w:r>
        <w:rPr>
          <w:rFonts w:hint="eastAsia" w:ascii="仿宋_GB2312" w:hAnsi="仿宋_GB2312" w:eastAsia="仿宋_GB2312" w:cs="仿宋_GB2312"/>
          <w:b w:val="0"/>
          <w:bCs w:val="0"/>
          <w:color w:val="FF0000"/>
          <w:sz w:val="32"/>
          <w:szCs w:val="32"/>
          <w:lang w:val="en-US" w:eastAsia="zh-CN"/>
        </w:rPr>
        <w:t>纳税人识别号/身份证号、密码无法登录系统</w:t>
      </w:r>
      <w:r>
        <w:rPr>
          <w:rFonts w:hint="eastAsia" w:ascii="仿宋_GB2312" w:hAnsi="仿宋_GB2312" w:eastAsia="仿宋_GB2312" w:cs="仿宋_GB2312"/>
          <w:b w:val="0"/>
          <w:bCs w:val="0"/>
          <w:color w:val="auto"/>
          <w:sz w:val="32"/>
          <w:szCs w:val="32"/>
          <w:lang w:val="en-US" w:eastAsia="zh-CN"/>
        </w:rPr>
        <w:t>的</w:t>
      </w:r>
      <w:r>
        <w:rPr>
          <w:rFonts w:hint="eastAsia" w:ascii="仿宋_GB2312" w:hAnsi="仿宋_GB2312" w:eastAsia="仿宋_GB2312" w:cs="仿宋_GB2312"/>
          <w:b w:val="0"/>
          <w:bCs w:val="0"/>
          <w:sz w:val="32"/>
          <w:szCs w:val="32"/>
          <w:lang w:val="en-US" w:eastAsia="zh-CN"/>
        </w:rPr>
        <w:t>情况，请联系客服：0871-64109371-8026、8028</w:t>
      </w:r>
    </w:p>
    <w:p>
      <w:pPr>
        <w:numPr>
          <w:ilvl w:val="0"/>
          <w:numId w:val="0"/>
        </w:numPr>
        <w:ind w:leftChars="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二、CA办理</w:t>
      </w:r>
    </w:p>
    <w:p>
      <w:pPr>
        <w:numPr>
          <w:ilvl w:val="0"/>
          <w:numId w:val="0"/>
        </w:num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1.新办单位CA</w:t>
      </w:r>
    </w:p>
    <w:p>
      <w:pPr>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（1）用户登录系统后，点击右上角“CA数字证书</w:t>
      </w:r>
      <w:r>
        <w:rPr>
          <w:rFonts w:hint="eastAsia" w:ascii="仿宋_GB2312" w:hAnsi="仿宋_GB2312" w:eastAsia="仿宋_GB2312" w:cs="仿宋_GB2312"/>
          <w:color w:val="000000"/>
          <w:sz w:val="32"/>
          <w:szCs w:val="32"/>
          <w:lang w:val="en-US" w:eastAsia="zh-CN"/>
        </w:rPr>
        <w:t>-</w:t>
      </w:r>
      <w:bookmarkStart w:id="0" w:name="_GoBack"/>
      <w:bookmarkEnd w:id="0"/>
      <w:r>
        <w:rPr>
          <w:rFonts w:hint="eastAsia" w:ascii="仿宋_GB2312" w:hAnsi="仿宋_GB2312" w:eastAsia="仿宋_GB2312" w:cs="仿宋_GB2312"/>
          <w:color w:val="000000"/>
          <w:sz w:val="32"/>
          <w:szCs w:val="32"/>
          <w:lang w:val="en-US" w:eastAsia="zh-CN"/>
        </w:rPr>
        <w:t>&gt;CA数字证书列表</w:t>
      </w:r>
      <w:r>
        <w:rPr>
          <w:rFonts w:hint="eastAsia" w:ascii="仿宋_GB2312" w:hAnsi="仿宋_GB2312" w:eastAsia="仿宋_GB2312" w:cs="仿宋_GB2312"/>
          <w:b w:val="0"/>
          <w:bCs w:val="0"/>
          <w:sz w:val="32"/>
          <w:szCs w:val="32"/>
          <w:lang w:val="en-US" w:eastAsia="zh-CN"/>
        </w:rPr>
        <w:t>”菜单，点击“申办新证书</w:t>
      </w:r>
      <w:r>
        <w:rPr>
          <w:rFonts w:hint="eastAsia" w:ascii="仿宋_GB2312" w:hAnsi="仿宋_GB2312" w:eastAsia="仿宋_GB2312" w:cs="仿宋_GB2312"/>
          <w:color w:val="000000"/>
          <w:sz w:val="32"/>
          <w:szCs w:val="32"/>
          <w:lang w:val="en-US" w:eastAsia="zh-CN"/>
        </w:rPr>
        <w:t>-&gt;申办企业证书</w:t>
      </w:r>
      <w:r>
        <w:rPr>
          <w:rFonts w:hint="eastAsia" w:ascii="仿宋_GB2312" w:hAnsi="仿宋_GB2312" w:eastAsia="仿宋_GB2312" w:cs="仿宋_GB2312"/>
          <w:b w:val="0"/>
          <w:bCs w:val="0"/>
          <w:sz w:val="32"/>
          <w:szCs w:val="32"/>
          <w:lang w:val="en-US" w:eastAsia="zh-CN"/>
        </w:rPr>
        <w:t>”选项进入证书办理界面。</w:t>
      </w:r>
    </w:p>
    <w:p>
      <w:pPr>
        <w:numPr>
          <w:ilvl w:val="0"/>
          <w:numId w:val="0"/>
        </w:numPr>
        <w:jc w:val="left"/>
        <w:rPr>
          <w:rFonts w:hint="eastAsia" w:ascii="仿宋_GB2312" w:hAnsi="仿宋_GB2312" w:eastAsia="仿宋_GB2312" w:cs="仿宋_GB2312"/>
          <w:b w:val="0"/>
          <w:bCs w:val="0"/>
          <w:sz w:val="32"/>
          <w:szCs w:val="32"/>
          <w:lang w:val="en-US" w:eastAsia="zh-CN"/>
        </w:rPr>
      </w:pPr>
    </w:p>
    <w:p>
      <w:pPr>
        <w:numPr>
          <w:ilvl w:val="0"/>
          <w:numId w:val="0"/>
        </w:num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5645785" cy="2716530"/>
            <wp:effectExtent l="0" t="0" r="12065" b="7620"/>
            <wp:docPr id="8" name="图片 8" descr="C:\Users\张梦佳\Desktop\CA\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张梦佳\Desktop\CA\13.png13"/>
                    <pic:cNvPicPr>
                      <a:picLocks noChangeAspect="1"/>
                    </pic:cNvPicPr>
                  </pic:nvPicPr>
                  <pic:blipFill>
                    <a:blip r:embed="rId13"/>
                    <a:srcRect/>
                    <a:stretch>
                      <a:fillRect/>
                    </a:stretch>
                  </pic:blipFill>
                  <pic:spPr>
                    <a:xfrm>
                      <a:off x="0" y="0"/>
                      <a:ext cx="5645785" cy="2716530"/>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5610860" cy="2716530"/>
            <wp:effectExtent l="0" t="0" r="8890" b="7620"/>
            <wp:docPr id="7" name="图片 7" descr="C:\Users\张梦佳\Desktop\CA\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张梦佳\Desktop\CA\12.jpg12"/>
                    <pic:cNvPicPr>
                      <a:picLocks noChangeAspect="1"/>
                    </pic:cNvPicPr>
                  </pic:nvPicPr>
                  <pic:blipFill>
                    <a:blip r:embed="rId14"/>
                    <a:srcRect/>
                    <a:stretch>
                      <a:fillRect/>
                    </a:stretch>
                  </pic:blipFill>
                  <pic:spPr>
                    <a:xfrm>
                      <a:off x="0" y="0"/>
                      <a:ext cx="5610860" cy="2716530"/>
                    </a:xfrm>
                    <a:prstGeom prst="rect">
                      <a:avLst/>
                    </a:prstGeom>
                  </pic:spPr>
                </pic:pic>
              </a:graphicData>
            </a:graphic>
          </wp:inline>
        </w:drawing>
      </w:r>
    </w:p>
    <w:p>
      <w:pPr>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申办新证书的企业或个人严格按照以下流程办理：提交申请材料</w:t>
      </w:r>
      <w:r>
        <w:rPr>
          <w:rFonts w:hint="eastAsia" w:ascii="仿宋_GB2312" w:hAnsi="仿宋_GB2312" w:eastAsia="仿宋_GB2312" w:cs="仿宋_GB2312"/>
          <w:color w:val="000000"/>
          <w:sz w:val="32"/>
          <w:szCs w:val="32"/>
          <w:lang w:val="en-US" w:eastAsia="zh-CN"/>
        </w:rPr>
        <w:t>-&gt;等待审核-&gt;费用缴纳-&gt;邮寄；</w:t>
      </w:r>
    </w:p>
    <w:p>
      <w:pPr>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用户应按照实际情况填写基本信息和收件信息并勾选证书用途；</w:t>
      </w:r>
    </w:p>
    <w:p>
      <w:pPr>
        <w:numPr>
          <w:ilvl w:val="0"/>
          <w:numId w:val="0"/>
        </w:num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5646420" cy="2716530"/>
            <wp:effectExtent l="0" t="0" r="11430" b="7620"/>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5"/>
                    <a:stretch>
                      <a:fillRect/>
                    </a:stretch>
                  </pic:blipFill>
                  <pic:spPr>
                    <a:xfrm>
                      <a:off x="0" y="0"/>
                      <a:ext cx="5646420" cy="2716530"/>
                    </a:xfrm>
                    <a:prstGeom prst="rect">
                      <a:avLst/>
                    </a:prstGeom>
                  </pic:spPr>
                </pic:pic>
              </a:graphicData>
            </a:graphic>
          </wp:inline>
        </w:drawing>
      </w:r>
    </w:p>
    <w:p>
      <w:pPr>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办理所需材料可登录云南省建设注册考试中心综合业务服务系统首页“材料下载”或</w:t>
      </w:r>
      <w:r>
        <w:rPr>
          <w:rFonts w:hint="eastAsia" w:ascii="仿宋_GB2312" w:hAnsi="仿宋_GB2312" w:eastAsia="仿宋_GB2312" w:cs="仿宋_GB2312"/>
          <w:color w:val="000000"/>
          <w:sz w:val="32"/>
          <w:szCs w:val="32"/>
          <w:lang w:val="en-US" w:eastAsia="zh-CN"/>
        </w:rPr>
        <w:t>云南省建设注册考试中心网站（ http://www.ynjspx.cn/）“一体化平台CA办理”中“材料下载”下载并如实填写信息。</w:t>
      </w:r>
      <w:r>
        <w:rPr>
          <w:rFonts w:hint="eastAsia" w:ascii="仿宋_GB2312" w:hAnsi="仿宋_GB2312" w:eastAsia="仿宋_GB2312" w:cs="仿宋_GB2312"/>
          <w:sz w:val="32"/>
          <w:szCs w:val="32"/>
        </w:rPr>
        <w:drawing>
          <wp:inline distT="0" distB="0" distL="114300" distR="114300">
            <wp:extent cx="5650230" cy="2775585"/>
            <wp:effectExtent l="0" t="0" r="7620"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a:off x="0" y="0"/>
                      <a:ext cx="5650230" cy="2775585"/>
                    </a:xfrm>
                    <a:prstGeom prst="rect">
                      <a:avLst/>
                    </a:prstGeom>
                    <a:noFill/>
                    <a:ln>
                      <a:noFill/>
                    </a:ln>
                  </pic:spPr>
                </pic:pic>
              </a:graphicData>
            </a:graphic>
          </wp:inline>
        </w:drawing>
      </w:r>
      <w:r>
        <w:rPr>
          <w:rFonts w:hint="eastAsia" w:ascii="仿宋_GB2312" w:hAnsi="仿宋_GB2312" w:eastAsia="仿宋_GB2312" w:cs="仿宋_GB2312"/>
          <w:b w:val="0"/>
          <w:bCs w:val="0"/>
          <w:sz w:val="32"/>
          <w:szCs w:val="32"/>
          <w:lang w:val="en-US" w:eastAsia="zh-CN"/>
        </w:rPr>
        <w:drawing>
          <wp:inline distT="0" distB="0" distL="114300" distR="114300">
            <wp:extent cx="5645785" cy="2716530"/>
            <wp:effectExtent l="0" t="0" r="12065" b="7620"/>
            <wp:docPr id="6" name="图片 6" descr="C:\Users\张梦佳\Desktop\CA\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张梦佳\Desktop\CA\6.png6"/>
                    <pic:cNvPicPr>
                      <a:picLocks noChangeAspect="1"/>
                    </pic:cNvPicPr>
                  </pic:nvPicPr>
                  <pic:blipFill>
                    <a:blip r:embed="rId17"/>
                    <a:srcRect/>
                    <a:stretch>
                      <a:fillRect/>
                    </a:stretch>
                  </pic:blipFill>
                  <pic:spPr>
                    <a:xfrm>
                      <a:off x="0" y="0"/>
                      <a:ext cx="5645785" cy="2716530"/>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000000"/>
          <w:sz w:val="32"/>
          <w:szCs w:val="32"/>
          <w:lang w:val="en-US" w:eastAsia="zh-CN"/>
        </w:rPr>
        <w:t>（2）用户上传材料后，点击“提交”材料按钮跳转到CA数字证书业务界面。可通过“业务状态”查看提交订单是否审核通过，通过则等待工作人员完成办理，根据所填方式收件。审核不通过则需查看审核意见后改正，重新上传材料。</w:t>
      </w:r>
      <w:r>
        <w:rPr>
          <w:rFonts w:hint="eastAsia" w:ascii="仿宋_GB2312" w:hAnsi="仿宋_GB2312" w:eastAsia="仿宋_GB2312" w:cs="仿宋_GB2312"/>
          <w:b w:val="0"/>
          <w:bCs w:val="0"/>
          <w:sz w:val="32"/>
          <w:szCs w:val="32"/>
          <w:lang w:val="en-US" w:eastAsia="zh-CN"/>
        </w:rPr>
        <w:drawing>
          <wp:inline distT="0" distB="0" distL="114300" distR="114300">
            <wp:extent cx="5645785" cy="2716530"/>
            <wp:effectExtent l="0" t="0" r="12065" b="7620"/>
            <wp:docPr id="5" name="图片 5" descr="C:\Users\张梦佳\Desktop\CA\6.5.png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张梦佳\Desktop\CA\6.5.png6.5"/>
                    <pic:cNvPicPr>
                      <a:picLocks noChangeAspect="1"/>
                    </pic:cNvPicPr>
                  </pic:nvPicPr>
                  <pic:blipFill>
                    <a:blip r:embed="rId18"/>
                    <a:srcRect/>
                    <a:stretch>
                      <a:fillRect/>
                    </a:stretch>
                  </pic:blipFill>
                  <pic:spPr>
                    <a:xfrm>
                      <a:off x="0" y="0"/>
                      <a:ext cx="5645785" cy="2716530"/>
                    </a:xfrm>
                    <a:prstGeom prst="rect">
                      <a:avLst/>
                    </a:prstGeom>
                  </pic:spPr>
                </pic:pic>
              </a:graphicData>
            </a:graphic>
          </wp:inline>
        </w:drawing>
      </w:r>
    </w:p>
    <w:p>
      <w:pPr>
        <w:numPr>
          <w:ilvl w:val="0"/>
          <w:numId w:val="0"/>
        </w:numPr>
        <w:jc w:val="left"/>
        <w:rPr>
          <w:rFonts w:hint="eastAsia" w:ascii="仿宋_GB2312" w:hAnsi="仿宋_GB2312" w:eastAsia="仿宋_GB2312" w:cs="仿宋_GB2312"/>
          <w:b w:val="0"/>
          <w:bCs w:val="0"/>
          <w:sz w:val="32"/>
          <w:szCs w:val="32"/>
          <w:lang w:val="en-US" w:eastAsia="zh-CN"/>
        </w:rPr>
      </w:pPr>
    </w:p>
    <w:p>
      <w:pPr>
        <w:numPr>
          <w:ilvl w:val="0"/>
          <w:numId w:val="0"/>
        </w:numPr>
        <w:ind w:firstLine="640" w:firstLineChars="200"/>
        <w:jc w:val="left"/>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 xml:space="preserve">2.新办个人用户CA </w:t>
      </w:r>
    </w:p>
    <w:p>
      <w:pPr>
        <w:numPr>
          <w:ilvl w:val="0"/>
          <w:numId w:val="0"/>
        </w:numPr>
        <w:ind w:firstLine="640" w:firstLineChars="20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（1）新办个人CA证书时，先点击人员信息模块，选择添加+，按照要求填写人员信息及人员办理类型。</w:t>
      </w:r>
    </w:p>
    <w:p>
      <w:pPr>
        <w:numPr>
          <w:ilvl w:val="0"/>
          <w:numId w:val="0"/>
        </w:numPr>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drawing>
          <wp:inline distT="0" distB="0" distL="114300" distR="114300">
            <wp:extent cx="5650865" cy="2093595"/>
            <wp:effectExtent l="0" t="0" r="6985" b="19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9"/>
                    <a:stretch>
                      <a:fillRect/>
                    </a:stretch>
                  </pic:blipFill>
                  <pic:spPr>
                    <a:xfrm>
                      <a:off x="0" y="0"/>
                      <a:ext cx="5650865" cy="2093595"/>
                    </a:xfrm>
                    <a:prstGeom prst="rect">
                      <a:avLst/>
                    </a:prstGeom>
                    <a:noFill/>
                    <a:ln>
                      <a:noFill/>
                    </a:ln>
                  </pic:spPr>
                </pic:pic>
              </a:graphicData>
            </a:graphic>
          </wp:inline>
        </w:drawing>
      </w:r>
    </w:p>
    <w:p>
      <w:pPr>
        <w:numPr>
          <w:ilvl w:val="0"/>
          <w:numId w:val="0"/>
        </w:numPr>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val="en-US" w:eastAsia="zh-CN"/>
        </w:rPr>
        <w:t>（2）人员添加后，返回CA数字证书列表，点击申办个人证书，选择办理个人，填写个人信息、收件信息及按要求上传办理所需材料，提交后等待工作人员审核。</w:t>
      </w:r>
      <w:r>
        <w:rPr>
          <w:rFonts w:hint="eastAsia" w:ascii="仿宋_GB2312" w:hAnsi="仿宋_GB2312" w:eastAsia="仿宋_GB2312" w:cs="仿宋_GB2312"/>
          <w:sz w:val="32"/>
          <w:szCs w:val="32"/>
        </w:rPr>
        <w:drawing>
          <wp:inline distT="0" distB="0" distL="114300" distR="114300">
            <wp:extent cx="5643245" cy="2120900"/>
            <wp:effectExtent l="0" t="0" r="14605" b="1270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0"/>
                    <a:stretch>
                      <a:fillRect/>
                    </a:stretch>
                  </pic:blipFill>
                  <pic:spPr>
                    <a:xfrm>
                      <a:off x="0" y="0"/>
                      <a:ext cx="5643245" cy="2120900"/>
                    </a:xfrm>
                    <a:prstGeom prst="rect">
                      <a:avLst/>
                    </a:prstGeom>
                    <a:noFill/>
                    <a:ln>
                      <a:noFill/>
                    </a:ln>
                  </pic:spPr>
                </pic:pic>
              </a:graphicData>
            </a:graphic>
          </wp:inline>
        </w:drawing>
      </w:r>
    </w:p>
    <w:p>
      <w:pPr>
        <w:numPr>
          <w:ilvl w:val="0"/>
          <w:numId w:val="0"/>
        </w:numPr>
        <w:ind w:leftChars="0" w:firstLine="640" w:firstLineChars="200"/>
        <w:jc w:val="left"/>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lang w:val="en-US" w:eastAsia="zh-CN"/>
        </w:rPr>
        <w:t>3.延期、损坏补办及变更</w:t>
      </w:r>
    </w:p>
    <w:p>
      <w:pPr>
        <w:numPr>
          <w:ilvl w:val="0"/>
          <w:numId w:val="0"/>
        </w:numPr>
        <w:ind w:leftChars="0" w:firstLine="640" w:firstLineChars="200"/>
        <w:jc w:val="left"/>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如需延期、损坏补办或变更业务，应先将原CA证书邮寄至云南省建设注册考试中心（邮寄数字证书需寄前付费，如采取到付方式，则可能影响业务办理），邮寄发出后进入CA数字证书列表，选择对应证书办理对象发起业务；</w:t>
      </w:r>
    </w:p>
    <w:p>
      <w:pPr>
        <w:numPr>
          <w:ilvl w:val="0"/>
          <w:numId w:val="0"/>
        </w:numPr>
        <w:ind w:left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551170" cy="3846195"/>
            <wp:effectExtent l="0" t="0" r="11430" b="19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1"/>
                    <a:stretch>
                      <a:fillRect/>
                    </a:stretch>
                  </pic:blipFill>
                  <pic:spPr>
                    <a:xfrm>
                      <a:off x="0" y="0"/>
                      <a:ext cx="5551170" cy="3846195"/>
                    </a:xfrm>
                    <a:prstGeom prst="rect">
                      <a:avLst/>
                    </a:prstGeom>
                    <a:noFill/>
                    <a:ln>
                      <a:noFill/>
                    </a:ln>
                  </pic:spPr>
                </pic:pic>
              </a:graphicData>
            </a:graphic>
          </wp:inline>
        </w:drawing>
      </w:r>
    </w:p>
    <w:p>
      <w:pPr>
        <w:numPr>
          <w:ilvl w:val="0"/>
          <w:numId w:val="0"/>
        </w:numPr>
        <w:ind w:leftChars="0"/>
        <w:jc w:val="left"/>
        <w:rPr>
          <w:rFonts w:hint="eastAsia" w:ascii="仿宋_GB2312" w:hAnsi="仿宋_GB2312" w:eastAsia="仿宋_GB2312" w:cs="仿宋_GB2312"/>
          <w:sz w:val="32"/>
          <w:szCs w:val="32"/>
          <w:lang w:val="en-US" w:eastAsia="zh-CN"/>
        </w:rPr>
      </w:pP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val="en-US" w:eastAsia="zh-CN"/>
        </w:rPr>
        <w:t>（2）填写订单时应正确填写邮寄证书至中心的快递公司名称及快递单号；工作人员将在收到原CA数字证书后对相关业务发起审核，可通过“业务状态”查看提交订单是否审核通过，审核通过则等待工作人员完成办理，新证书根据所填收件方式取件，如选择快递方式，请认真填写收件地址；审核不通过需查看审核意见改正后，上传资料重新办理。</w:t>
      </w:r>
    </w:p>
    <w:p>
      <w:pPr>
        <w:widowControl w:val="0"/>
        <w:numPr>
          <w:ilvl w:val="0"/>
          <w:numId w:val="0"/>
        </w:numPr>
        <w:jc w:val="left"/>
        <w:rPr>
          <w:rFonts w:hint="eastAsia" w:ascii="仿宋_GB2312" w:hAnsi="仿宋_GB2312" w:eastAsia="仿宋_GB2312" w:cs="仿宋_GB2312"/>
          <w:sz w:val="32"/>
          <w:szCs w:val="32"/>
        </w:rPr>
      </w:pPr>
    </w:p>
    <w:p>
      <w:pPr>
        <w:numPr>
          <w:ilvl w:val="0"/>
          <w:numId w:val="0"/>
        </w:num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42610" cy="2533015"/>
            <wp:effectExtent l="0" t="0" r="15240" b="63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a:stretch>
                      <a:fillRect/>
                    </a:stretch>
                  </pic:blipFill>
                  <pic:spPr>
                    <a:xfrm>
                      <a:off x="0" y="0"/>
                      <a:ext cx="5642610" cy="2533015"/>
                    </a:xfrm>
                    <a:prstGeom prst="rect">
                      <a:avLst/>
                    </a:prstGeom>
                    <a:noFill/>
                    <a:ln>
                      <a:noFill/>
                    </a:ln>
                  </pic:spPr>
                </pic:pic>
              </a:graphicData>
            </a:graphic>
          </wp:inline>
        </w:drawing>
      </w:r>
    </w:p>
    <w:p>
      <w:pPr>
        <w:numPr>
          <w:ilvl w:val="0"/>
          <w:numId w:val="0"/>
        </w:numPr>
        <w:jc w:val="left"/>
        <w:rPr>
          <w:rFonts w:hint="eastAsia" w:ascii="仿宋_GB2312" w:hAnsi="仿宋_GB2312" w:eastAsia="仿宋_GB2312" w:cs="仿宋_GB2312"/>
          <w:b/>
          <w:bCs/>
          <w:sz w:val="32"/>
          <w:szCs w:val="32"/>
          <w:lang w:val="en-US" w:eastAsia="zh-CN"/>
        </w:rPr>
      </w:pPr>
    </w:p>
    <w:p>
      <w:pPr>
        <w:numPr>
          <w:ilvl w:val="0"/>
          <w:numId w:val="0"/>
        </w:num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三、开具发票</w:t>
      </w:r>
    </w:p>
    <w:p>
      <w:pPr>
        <w:numPr>
          <w:ilvl w:val="0"/>
          <w:numId w:val="0"/>
        </w:numPr>
        <w:ind w:leftChars="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订单完成后，进入发票管理——发票列表打印电子发票</w:t>
      </w:r>
      <w:r>
        <w:rPr>
          <w:rFonts w:hint="eastAsia" w:ascii="仿宋_GB2312" w:hAnsi="仿宋_GB2312" w:eastAsia="仿宋_GB2312" w:cs="仿宋_GB2312"/>
          <w:sz w:val="32"/>
          <w:szCs w:val="32"/>
          <w:lang w:val="en-US" w:eastAsia="zh-CN"/>
        </w:rPr>
        <w:drawing>
          <wp:inline distT="0" distB="0" distL="114300" distR="114300">
            <wp:extent cx="5647055" cy="3061970"/>
            <wp:effectExtent l="0" t="0" r="10795" b="5080"/>
            <wp:docPr id="20" name="图片 20" descr="e2b4b32e758e38bdac0972187413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2b4b32e758e38bdac09721874131ca"/>
                    <pic:cNvPicPr>
                      <a:picLocks noChangeAspect="1"/>
                    </pic:cNvPicPr>
                  </pic:nvPicPr>
                  <pic:blipFill>
                    <a:blip r:embed="rId23"/>
                    <a:stretch>
                      <a:fillRect/>
                    </a:stretch>
                  </pic:blipFill>
                  <pic:spPr>
                    <a:xfrm>
                      <a:off x="0" y="0"/>
                      <a:ext cx="5647055" cy="3061970"/>
                    </a:xfrm>
                    <a:prstGeom prst="rect">
                      <a:avLst/>
                    </a:prstGeom>
                  </pic:spPr>
                </pic:pic>
              </a:graphicData>
            </a:graphic>
          </wp:inline>
        </w:drawing>
      </w:r>
    </w:p>
    <w:p>
      <w:pPr>
        <w:numPr>
          <w:ilvl w:val="0"/>
          <w:numId w:val="0"/>
        </w:numPr>
        <w:ind w:left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645785" cy="2586355"/>
            <wp:effectExtent l="0" t="0" r="12065" b="444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4"/>
                    <a:stretch>
                      <a:fillRect/>
                    </a:stretch>
                  </pic:blipFill>
                  <pic:spPr>
                    <a:xfrm>
                      <a:off x="0" y="0"/>
                      <a:ext cx="5645785" cy="2586355"/>
                    </a:xfrm>
                    <a:prstGeom prst="rect">
                      <a:avLst/>
                    </a:prstGeom>
                    <a:noFill/>
                    <a:ln>
                      <a:noFill/>
                    </a:ln>
                  </pic:spPr>
                </pic:pic>
              </a:graphicData>
            </a:graphic>
          </wp:inline>
        </w:drawing>
      </w:r>
    </w:p>
    <w:p>
      <w:pPr>
        <w:numPr>
          <w:ilvl w:val="0"/>
          <w:numId w:val="0"/>
        </w:numPr>
        <w:jc w:val="left"/>
        <w:rPr>
          <w:rFonts w:hint="eastAsia" w:ascii="仿宋_GB2312" w:hAnsi="仿宋_GB2312" w:eastAsia="仿宋_GB2312" w:cs="仿宋_GB2312"/>
          <w:b/>
          <w:bCs/>
          <w:color w:val="000000"/>
          <w:sz w:val="32"/>
          <w:szCs w:val="32"/>
          <w:lang w:val="en-US" w:eastAsia="zh-CN"/>
        </w:rPr>
      </w:pPr>
    </w:p>
    <w:p>
      <w:pPr>
        <w:numPr>
          <w:ilvl w:val="0"/>
          <w:numId w:val="0"/>
        </w:numPr>
        <w:jc w:val="left"/>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四、注意事项</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用户首次登录后，系统将强制要求设置新密码，如企业用户设置新密码后遗忘的，需提供加盖单位公章的说明文件到现场（云南省建设注册考试中心211办公室）进行办理；个人用户设置新密码后遗忘的，需提供个人签字的说明文件及身份证复印件（含正反面）到现场办理；</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2.办理遗失补办业务时，不用邮寄原CA证书；</w:t>
      </w:r>
    </w:p>
    <w:p>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3.办理个人证书新办、延期及补办时只能单笔订单发起；</w:t>
      </w:r>
    </w:p>
    <w:p>
      <w:pPr>
        <w:numPr>
          <w:ilvl w:val="0"/>
          <w:numId w:val="0"/>
        </w:num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4.所传材料应保证真实清晰，加盖单位公章。</w:t>
      </w:r>
    </w:p>
    <w:p>
      <w:pPr>
        <w:numPr>
          <w:ilvl w:val="0"/>
          <w:numId w:val="0"/>
        </w:numPr>
        <w:jc w:val="left"/>
        <w:rPr>
          <w:rFonts w:hint="eastAsia" w:ascii="仿宋_GB2312" w:hAnsi="仿宋_GB2312" w:eastAsia="仿宋_GB2312" w:cs="仿宋_GB2312"/>
          <w:sz w:val="32"/>
          <w:szCs w:val="32"/>
          <w:lang w:val="en-US" w:eastAsia="zh-CN"/>
        </w:rPr>
      </w:pPr>
    </w:p>
    <w:p>
      <w:pPr>
        <w:numPr>
          <w:ilvl w:val="0"/>
          <w:numId w:val="0"/>
        </w:numPr>
        <w:jc w:val="left"/>
        <w:rPr>
          <w:rFonts w:hint="eastAsia" w:ascii="仿宋_GB2312" w:hAnsi="仿宋_GB2312" w:eastAsia="仿宋_GB2312" w:cs="仿宋_GB2312"/>
          <w:sz w:val="32"/>
          <w:szCs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2154" w:right="1417"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42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4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left="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B058E2"/>
    <w:rsid w:val="079D7080"/>
    <w:rsid w:val="0984552F"/>
    <w:rsid w:val="0AB82DFE"/>
    <w:rsid w:val="12B333F5"/>
    <w:rsid w:val="13D84778"/>
    <w:rsid w:val="18DD218B"/>
    <w:rsid w:val="1F27729C"/>
    <w:rsid w:val="281C57B8"/>
    <w:rsid w:val="32D35F26"/>
    <w:rsid w:val="56B058E2"/>
    <w:rsid w:val="638C738F"/>
    <w:rsid w:val="674F0E02"/>
    <w:rsid w:val="68516BF7"/>
    <w:rsid w:val="75B70170"/>
    <w:rsid w:val="7C07312A"/>
    <w:rsid w:val="7DEB5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422" w:leftChars="20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szCs w:val="18"/>
    </w:rPr>
  </w:style>
  <w:style w:type="paragraph" w:styleId="3">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6">
    <w:name w:val="时间"/>
    <w:basedOn w:val="1"/>
    <w:uiPriority w:val="0"/>
    <w:pPr>
      <w:ind w:left="0" w:leftChars="0" w:right="422" w:rightChars="200"/>
      <w:jc w:val="right"/>
    </w:pPr>
    <w:rPr>
      <w:rFonts w:eastAsia="仿宋_GB2312"/>
      <w:sz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2019-08-08T12:44:00Z</dcterms:created>
  <dc:creator>一颗</dc:creator>
  <cp:lastModifiedBy>ZJT</cp:lastModifiedBy>
  <dcterms:modified xsi:type="dcterms:W3CDTF">2019-08-09T11:58:28Z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